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 w:eastAsia="黑体" w:cs="Times New Roman"/>
          <w:b w:val="0"/>
          <w:bCs/>
          <w:sz w:val="32"/>
          <w:szCs w:val="24"/>
        </w:rPr>
      </w:pPr>
      <w:r>
        <w:rPr>
          <w:rFonts w:ascii="仿宋_GB2312" w:hAnsi="仿宋" w:eastAsia="黑体" w:cs="Times New Roman"/>
          <w:b w:val="0"/>
          <w:bCs/>
          <w:sz w:val="32"/>
          <w:szCs w:val="24"/>
        </w:rPr>
        <w:t>附件1</w:t>
      </w:r>
    </w:p>
    <w:p>
      <w:pPr>
        <w:spacing w:before="156" w:beforeLines="50" w:after="156" w:afterLines="50" w:line="360" w:lineRule="auto"/>
        <w:jc w:val="center"/>
        <w:rPr>
          <w:rFonts w:ascii="仿宋_GB2312" w:hAnsi="仿宋" w:eastAsia="黑体" w:cs="Times New Roman"/>
          <w:b w:val="0"/>
          <w:bCs/>
          <w:sz w:val="24"/>
          <w:szCs w:val="24"/>
        </w:rPr>
      </w:pPr>
      <w:r>
        <w:rPr>
          <w:rFonts w:hint="eastAsia" w:ascii="黑体" w:hAnsi="黑体" w:eastAsia="黑体" w:cs="Times New Roman"/>
          <w:b w:val="0"/>
          <w:bCs/>
          <w:sz w:val="24"/>
          <w:szCs w:val="24"/>
        </w:rPr>
        <w:t>2</w:t>
      </w:r>
      <w:r>
        <w:rPr>
          <w:rFonts w:ascii="黑体" w:hAnsi="黑体" w:eastAsia="黑体" w:cs="Times New Roman"/>
          <w:b w:val="0"/>
          <w:bCs/>
          <w:sz w:val="24"/>
          <w:szCs w:val="24"/>
        </w:rPr>
        <w:t>02</w:t>
      </w:r>
      <w:r>
        <w:rPr>
          <w:rFonts w:hint="eastAsia" w:ascii="黑体" w:hAnsi="黑体" w:eastAsia="黑体" w:cs="Times New Roman"/>
          <w:b w:val="0"/>
          <w:bCs/>
          <w:sz w:val="24"/>
          <w:szCs w:val="24"/>
          <w:lang w:val="en-US" w:eastAsia="zh-CN"/>
        </w:rPr>
        <w:t>4</w:t>
      </w:r>
      <w:r>
        <w:rPr>
          <w:rFonts w:ascii="黑体" w:hAnsi="黑体" w:eastAsia="黑体" w:cs="Times New Roman"/>
          <w:b w:val="0"/>
          <w:bCs/>
          <w:sz w:val="24"/>
          <w:szCs w:val="24"/>
        </w:rPr>
        <w:t>年</w:t>
      </w:r>
      <w:r>
        <w:rPr>
          <w:rFonts w:hint="eastAsia" w:ascii="黑体" w:hAnsi="黑体" w:eastAsia="黑体" w:cs="Times New Roman"/>
          <w:b w:val="0"/>
          <w:bCs/>
          <w:sz w:val="24"/>
          <w:szCs w:val="24"/>
        </w:rPr>
        <w:t>汽车标准化</w:t>
      </w:r>
      <w:r>
        <w:rPr>
          <w:rFonts w:ascii="黑体" w:hAnsi="黑体" w:eastAsia="黑体" w:cs="Times New Roman"/>
          <w:b w:val="0"/>
          <w:bCs/>
          <w:sz w:val="24"/>
          <w:szCs w:val="24"/>
        </w:rPr>
        <w:t>公益性开放课题申请列表</w:t>
      </w:r>
    </w:p>
    <w:tbl>
      <w:tblPr>
        <w:tblStyle w:val="8"/>
        <w:tblW w:w="53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
        <w:gridCol w:w="606"/>
        <w:gridCol w:w="1967"/>
        <w:gridCol w:w="6344"/>
        <w:gridCol w:w="4832"/>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133" w:type="pct"/>
            <w:shd w:val="clear" w:color="auto" w:fill="auto"/>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02" w:type="pct"/>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ascii="Times New Roman" w:hAnsi="Times New Roman" w:cs="Times New Roman"/>
                <w:b/>
                <w:bCs/>
                <w:sz w:val="21"/>
                <w:szCs w:val="21"/>
              </w:rPr>
              <w:t>领域</w:t>
            </w:r>
          </w:p>
        </w:tc>
        <w:tc>
          <w:tcPr>
            <w:tcW w:w="657" w:type="pct"/>
            <w:shd w:val="clear" w:color="auto" w:fill="auto"/>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ascii="Times New Roman" w:hAnsi="Times New Roman" w:cs="Times New Roman"/>
                <w:b/>
                <w:bCs/>
                <w:sz w:val="21"/>
                <w:szCs w:val="21"/>
              </w:rPr>
              <w:t>课题名称</w:t>
            </w:r>
          </w:p>
        </w:tc>
        <w:tc>
          <w:tcPr>
            <w:tcW w:w="2120" w:type="pct"/>
            <w:shd w:val="clear" w:color="auto" w:fill="auto"/>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ascii="Times New Roman" w:hAnsi="Times New Roman" w:cs="Times New Roman"/>
                <w:b/>
                <w:bCs/>
                <w:sz w:val="21"/>
                <w:szCs w:val="21"/>
              </w:rPr>
              <w:t>研究目标</w:t>
            </w:r>
          </w:p>
        </w:tc>
        <w:tc>
          <w:tcPr>
            <w:tcW w:w="1614" w:type="pct"/>
            <w:shd w:val="clear" w:color="auto" w:fill="auto"/>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ascii="Times New Roman" w:hAnsi="Times New Roman" w:cs="Times New Roman"/>
                <w:b/>
                <w:bCs/>
                <w:sz w:val="21"/>
                <w:szCs w:val="21"/>
              </w:rPr>
              <w:t>考核指标</w:t>
            </w:r>
          </w:p>
        </w:tc>
        <w:tc>
          <w:tcPr>
            <w:tcW w:w="271" w:type="pct"/>
            <w:shd w:val="clear" w:color="auto" w:fill="auto"/>
            <w:tcMar>
              <w:top w:w="0" w:type="dxa"/>
              <w:left w:w="28" w:type="dxa"/>
              <w:bottom w:w="0" w:type="dxa"/>
              <w:right w:w="28" w:type="dxa"/>
            </w:tcMar>
            <w:vAlign w:val="center"/>
          </w:tcPr>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highlight w:val="none"/>
              </w:rPr>
            </w:pPr>
            <w:r>
              <w:rPr>
                <w:rFonts w:ascii="Times New Roman" w:hAnsi="Times New Roman" w:cs="Times New Roman"/>
                <w:b/>
                <w:bCs/>
                <w:sz w:val="21"/>
                <w:szCs w:val="21"/>
                <w:highlight w:val="none"/>
              </w:rPr>
              <w:t>金额</w:t>
            </w:r>
          </w:p>
          <w:p>
            <w:pPr>
              <w:keepNext w:val="0"/>
              <w:keepLines w:val="0"/>
              <w:pageBreakBefore w:val="0"/>
              <w:kinsoku/>
              <w:wordWrap/>
              <w:overflowPunct/>
              <w:topLinePunct w:val="0"/>
              <w:autoSpaceDE/>
              <w:autoSpaceDN/>
              <w:bidi w:val="0"/>
              <w:snapToGrid w:val="0"/>
              <w:spacing w:before="79" w:beforeLines="25" w:after="79" w:afterLines="25"/>
              <w:jc w:val="center"/>
              <w:rPr>
                <w:rFonts w:ascii="Times New Roman" w:hAnsi="Times New Roman" w:cs="Times New Roman"/>
                <w:b/>
                <w:bCs/>
                <w:sz w:val="21"/>
                <w:szCs w:val="21"/>
              </w:rPr>
            </w:pPr>
            <w:r>
              <w:rPr>
                <w:rFonts w:hint="eastAsia" w:ascii="Times New Roman" w:hAnsi="Times New Roman" w:cs="Times New Roman"/>
                <w:b/>
                <w:bCs/>
                <w:sz w:val="21"/>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智能网联汽车</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汽车智能座舱光生物安全防护技术与标准化研究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汽车智能座舱发展迅速，舱内显示装置、氛围灯等智能化设备逐渐增多，在提升用户驾乘体验的同时也可能带来一定视觉安全问题：舱内屏幕、氛围灯等显示设备的光源可能对乘员造成视觉疲劳甚至视觉损伤，与其他电子设备相比，座舱内乘员距离屏幕更近，暴露时间更长，可能加剧舱内光损伤。本项目将全面梳理智能座舱内影响视觉安全的各类因素，开展包括舱内光源特性、光源对视觉损伤指标等层面的研究工作，形成座舱内光生物安全的标准化路线。</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1.完成汽车智能座舱光生物安全防护技术与标准化研究报告，报告至少包含以下内容：</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（1）智能座舱内部光源特性研究；</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（2）座舱内场景下光源对驾乘人员的光安全特殊性影响分析；</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（3）提出智能座舱光源对驾乘人员光安全的影响指标不少于3项；</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（4）智能座舱光生物安全标准化研究路线分析。</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2.在《中国汽车》期刊上发表1篇论文。</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智能网联汽车</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芯粒互联技术及其在智能网联汽车领域的应用</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Chiplet芯粒互联技术使得复杂芯片的生产不再受到不同工艺的约束，凭借算力拓展的方式提升整体性能，大幅缩短了生产周期，使原始设备制造商能够建立可靠性高、灵活度大的智能网联汽车电子架构，将独立为不同功能单元设计的芯片通过低成本、高效率的互联技术进行组合。先进制程芯片的设计成本、复杂度大幅提升，Chiplet模式有利于降低制造成本，提升芯片良率；应用端对定制芯片的需求不断提升，市场</w:t>
            </w:r>
            <w:r>
              <w:rPr>
                <w:rFonts w:hint="eastAsia" w:ascii="Times New Roman" w:hAnsi="Times New Roman" w:eastAsia="宋体" w:cs="宋体"/>
                <w:i w:val="0"/>
                <w:iCs w:val="0"/>
                <w:color w:val="000000"/>
                <w:kern w:val="0"/>
                <w:sz w:val="21"/>
                <w:szCs w:val="21"/>
                <w:u w:val="none"/>
                <w:lang w:val="en-US" w:eastAsia="zh-CN" w:bidi="ar"/>
              </w:rPr>
              <w:t>需求更加多样化，创新周期缩短，Chiplet可加速产品迭代，解决智能网联汽车芯片设计复杂度高、生产成本昂贵、周期较长等问题。本课题旨在研究芯片chiplet技术在智能网联汽车领域的设计与实现，为解决智能网联汽车亟需的大算力芯片被“卡脖子”难题开展研究和技术储备，形成行业共识，完善汽车芯片标准体系。</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1.智能网联汽车领域的芯粒互联技术研究报告1份，报告至少包含以下内容：</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（1）Chiplet接口标准的协议层设计与实现；</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（2）对上层总线协议的兼容；</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（3）各种模式的协议层打包组包方式；</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（4）协议层与链路层之间的接口。</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2.提出相关标准制修订建议或形成一份标准草案。</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Times New Roman"/>
                <w:sz w:val="21"/>
                <w:szCs w:val="21"/>
              </w:rPr>
              <w:t>3.在《中国汽车》期刊上发表1篇论文。</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1" w:hRule="atLeas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智能网联汽车</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Times New Roman"/>
                <w:sz w:val="21"/>
                <w:szCs w:val="21"/>
              </w:rPr>
              <w:t>智驾系统多模态感知模块的鲁棒性测试方法与评估指标研究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多模态融合感知是智能驾驶系统中的关键技术，对于保障系统的安全性至关重要。然而，攻击者可以通过AIGC等技术针对多模态感知生成具有破坏性和隐蔽性的对抗性样本，从而对智能驾驶系统的安全构成威胁。由于多模态模型在测试过程中需要确保跨模态一致性，显著增加了多模态鲁棒性测试的技术复杂性。目前，行业内缺乏统一的评估方法和标准。本项目将针对多模态感知模型提出跨模态一致有效的测试和评价方法，形成通用的多模态鲁棒性测试和评估规范，将支撑国际标准提案《道路车辆 智能网联汽车感知模块性能测试规范及要求》的后续研究工作。</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1.完成自动驾驶多模态融合感知技术鲁棒性评估报告，报告至少包含以下内容：</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（1）分析和评估多模态感知技术在智能驾驶中的关键安全风险；</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（2）研究跨模态一致的对抗性样本生成方法；</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（3）研究不同模态的对抗性样本对智能驾驶系统的影响。</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2.在《中国汽车》期刊上发表1篇论文。</w:t>
            </w:r>
          </w:p>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3.形成相关国标草案1份，需包含不同雷达种类、天气条件下的点云目标检测测试样本库。</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1" w:hRule="atLeas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智能网联汽车</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自动驾驶3D点云目标检测的跨域迁移特性测试指标及评价体系</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ascii="Times New Roman" w:hAnsi="Times New Roman" w:eastAsia="宋体" w:cs="Times New Roman"/>
                <w:sz w:val="21"/>
                <w:szCs w:val="21"/>
              </w:rPr>
            </w:pPr>
            <w:r>
              <w:rPr>
                <w:rFonts w:hint="eastAsia" w:ascii="Times New Roman" w:hAnsi="Times New Roman" w:eastAsia="宋体" w:cs="宋体"/>
                <w:i w:val="0"/>
                <w:iCs w:val="0"/>
                <w:color w:val="000000"/>
                <w:kern w:val="0"/>
                <w:sz w:val="21"/>
                <w:szCs w:val="21"/>
                <w:u w:val="none"/>
                <w:lang w:val="en-US" w:eastAsia="zh-CN" w:bidi="ar"/>
              </w:rPr>
              <w:t>3D激光雷达点云目标检测技术在自动驾驶感知中至关重要，主流的3D点云处理方法主要依赖大规模高质量的标注数据集。然而，行业内缺乏针对不同3D激光雷达点云数据之间的目标检测迁移预处理及测试标准，跨域适应的性能指标尚不统一，不同数据集中的3D点云数据格式、标注形式也各不相同，增加了对3D点云目标检测模型迁移对抗测试的难度。针对上述问题，本项目提出如下研究目标：一是分析不同自动驾驶数据集中3D激光雷达点云的数据标注格式，分析现有标注格式特点及应用范围，提出一种标准化点云数据标注范式及预处理方法；二是研究面向自动驾驶3D激光雷达点云的对抗测试样本库，构建不同雷达种类、天气条件下的点云目标检测测试样本；三是研究自动驾驶3D激光雷达点云目标检测迁移特性测试与评价流程方法，构建跨域适应评价指标及规范体系。支撑车用AI子标准体系感知应用相关标准研制。</w:t>
            </w:r>
          </w:p>
        </w:tc>
        <w:tc>
          <w:tcPr>
            <w:tcW w:w="1614" w:type="pct"/>
            <w:shd w:val="clear" w:color="auto" w:fill="auto"/>
            <w:tcMar>
              <w:left w:w="28" w:type="dxa"/>
              <w:right w:w="28"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1.完成自动驾驶3D点云目标检测的跨域迁移特性测试指标及评价体系研究报告，报告至少包含以下内容：</w:t>
            </w:r>
          </w:p>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（1）不同自动驾驶数据集中3D激光雷达点云的数据标注格式；</w:t>
            </w:r>
          </w:p>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（2）面向自动驾驶3D激光雷达点云的对抗测试样本库；</w:t>
            </w:r>
          </w:p>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（3）自动驾驶3D激光雷达点云目标检测迁移特性测试与评价流程方法。</w:t>
            </w:r>
          </w:p>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2.在《中国汽车》期刊上发表1篇论文。</w:t>
            </w:r>
          </w:p>
          <w:p>
            <w:pPr>
              <w:keepNext w:val="0"/>
              <w:keepLines w:val="0"/>
              <w:pageBreakBefore w:val="0"/>
              <w:widowControl/>
              <w:numPr>
                <w:ilvl w:val="0"/>
                <w:numId w:val="0"/>
              </w:numPr>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3.形成相关国标草案1份。</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通用基础</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线控转向仿真测试方法及故障模型设计研究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线控转向系统是底盘技术智能化、电动化发展趋势下的重要发展方向，相较于现有的电动助力转向系统，其显著特点在于方向盘与转向器之间完全的机械解耦，转向器直接响应电信号控制，结构上天然具备精度高，响应快，稳态误差小等优点。线控转向系统的应用，将有力促进智能底盘的进一步发展，是未来汽车生态建设的重要组成部分。同时，线控转向系统与GB 17675-2021《汽车转向系 基本要求》中对全动力转向能量传输和控制传输失效的要求存在适应性问题，也需要适应线控转向系统的技术的特点，对系统的安全可靠要求加以规范。本研究旨在通过对线控转向系统进行仿真分析，对线控转向特有的性能进行研究，并基于故障还原进行模型设计和研究工作：一方面，探索线控转向仿真试验方法，围绕可变传动比、智驾接管、上下对齐等线控转向特性，开展仿真测试数据积累及系统比对；另一方面，探索线控转向故障模型设计，支撑线控转向系统故障复现，故障预测等。</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基于研究工作形成研究报告1份，报告至少包含以下内容：</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1.提出线控转向数学模型的建立方法，以支撑线控转向工作特性研究；</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2.提出线控转向数学模型精度的评价方法；</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3.开展线控转向典型工况仿真验证及数据积累；</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4.探索线控转向故障复现方法，梳理故障复现流程。</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ascii="Times New Roman" w:hAnsi="Times New Roman" w:eastAsia="宋体" w:cs="微软雅黑"/>
                <w:i w:val="0"/>
                <w:iCs w:val="0"/>
                <w:color w:val="000000"/>
                <w:kern w:val="2"/>
                <w:sz w:val="21"/>
                <w:szCs w:val="21"/>
                <w:u w:val="none"/>
                <w:lang w:val="en-US" w:eastAsia="zh-CN" w:bidi="ar-SA"/>
              </w:rPr>
            </w:pPr>
            <w:r>
              <w:rPr>
                <w:rFonts w:hint="eastAsia" w:ascii="Times New Roman" w:hAnsi="Times New Roman" w:eastAsia="宋体" w:cs="Times New Roman"/>
                <w:sz w:val="21"/>
                <w:szCs w:val="21"/>
                <w:lang w:val="en-US" w:eastAsia="zh-CN"/>
              </w:rPr>
              <w:t>绿色低碳</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电动汽车交流V2G技术路线研究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车网互动（V2G）可有效发挥电动汽车作为可控负荷或移动储能的灵活性调节能力，目前处于研究和试点示范阶段。交流V2G作为V2G的其中一种形式，在技术上具备可行性，但也存在如缺少数字通信等挑战和待解决的问题，需研究分析交流V2G实现方案。一是基于电动汽车和电网发展现状，结合不同形式V2G（直流V2G）的对比分析，研究交流V2G的发展趋势与影响因素；二是基于我国交流充电系统，结合V2G应用场景，研究交流V2G的可选技术路线（重点为车桩数据交互）；三是开展技术成熟度、方案复杂度、成本等因素对比，优选适合国情的技术路线，并提出交流V2G详细技术实现方案，为后续车网互动标准化工作提供参考。</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1.完成技术研究报告，报告至少包含以下内容：</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（1)不同交流V2G技术路线的客观对比；</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(2)提出交流V2G优选解决方案，并进行可行性分析。</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2.在《中国汽车》期刊上发表1篇论文。</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3.申请专利1项。</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center"/>
              <w:rPr>
                <w:rFonts w:hint="default" w:ascii="Times New Roman" w:hAnsi="Times New Roman" w:eastAsia="宋体" w:cs="微软雅黑"/>
                <w:i w:val="0"/>
                <w:iCs w:val="0"/>
                <w:color w:val="000000"/>
                <w:kern w:val="2"/>
                <w:sz w:val="21"/>
                <w:szCs w:val="21"/>
                <w:u w:val="none"/>
                <w:lang w:val="en-US" w:eastAsia="zh-CN" w:bidi="ar-SA"/>
              </w:rPr>
            </w:pPr>
            <w:r>
              <w:rPr>
                <w:rFonts w:hint="eastAsia" w:ascii="Times New Roman" w:hAnsi="Times New Roman" w:eastAsia="宋体" w:cs="Times New Roman"/>
                <w:sz w:val="21"/>
                <w:szCs w:val="21"/>
                <w:lang w:val="en-US" w:eastAsia="zh-CN"/>
              </w:rPr>
              <w:t>绿色低碳</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车用固态电池安全测试方法研究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固态电池作为车用动力电池领域的颠覆性创新产品，具备安全性好、能量密度高等突出优势。由于固态电池使用固态电解质，其物化特性与传统液态电池有一定区别，尤其在安全性测试等核心评价方法方面，有必要开展针对性研究。一方面，对比分析全固态电池、混合固液电池以及液态电池在热失控判定条件、热失控触发条件、产气特性（产气成分、产气量）的异同点；另一方面，提出面向固态电池物化特性和使用场景的安全评价方法。</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1.研究报告1份，报告至少包含以下内容：</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（1）全固态电池、混合固液电池、液态电池热失控判定条件、热失控触发方法、产气特性的文献调研</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（2）全固态电池、混合固液电池、液态电池热失控判定条件、热失控触发方法、产气特性的对比测试数据</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（3）固态电池安全评价方法建议。</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2.在《中国汽车》期刊上发表1篇论文。</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3" w:hRule="atLeas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center"/>
              <w:rPr>
                <w:rFonts w:ascii="Times New Roman" w:hAnsi="Times New Roman" w:eastAsia="宋体" w:cs="微软雅黑"/>
                <w:i w:val="0"/>
                <w:iCs w:val="0"/>
                <w:color w:val="000000"/>
                <w:kern w:val="2"/>
                <w:sz w:val="21"/>
                <w:szCs w:val="21"/>
                <w:u w:val="none"/>
                <w:lang w:val="en-US" w:eastAsia="zh-CN" w:bidi="ar-SA"/>
              </w:rPr>
            </w:pPr>
            <w:r>
              <w:rPr>
                <w:rFonts w:hint="eastAsia" w:ascii="Times New Roman" w:hAnsi="Times New Roman" w:eastAsia="宋体" w:cs="Times New Roman"/>
                <w:sz w:val="21"/>
                <w:szCs w:val="21"/>
                <w:lang w:val="en-US" w:eastAsia="zh-CN"/>
              </w:rPr>
              <w:t>绿色低碳</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智能化对车辆能耗影响分析及测试方法建议</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智能网联汽车搭载大量电子部件，对车辆能耗产生一定影响。目前，汽车能耗测试方法相关国家标准中均要求非行驶必要的电子部件在进行能耗测试中处于关闭状态，由此产生测试结果与实际存在偏差，对此需开展针对性研究：一方面，从实际道路和认证测试两个角度，分别开展不同驾驶自动化等级车辆电子部件对车辆的能耗影响分析，需包含不同驾驶自动化等级下正反两个维度的分析（如电气功耗增加整车能耗、道路预见等自主决策优化行驶工况而降低整车能耗），并相应给出综合影响预估；另一方面，结合不同驾驶自动化等级车辆实际使用特点，提出对各动力类型能耗测试方法国家标准GB/T 19233—2020、GB/T 19753—2021、和GB/T 18386.1—2021的具体修订建议。</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1.完成智能化对车辆能耗影响分析报告，报告至少包含以下内容：</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（1）现行能耗测试方法国家标准对不同驾驶自动化等级车辆的适用性分析；</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（2）不同驾驶自动化等级对车辆能耗测试正反两个维度的影响因素，并给出综合影响预估；</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（3）实际道路能耗测试方案；</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（4）不同驾驶自动化等级对车辆实际道路能耗正反两个维度的影响因素，并给出综合影响预估。</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2.智能网联汽车能耗测试方法建议方案1份，需包含对GB/T 19233—2020、GB/T 19753—2021、和GB/T 18386.1—2021的具体修订建议</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绿色低碳</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电动汽车用混合动力系统效率测试方法研究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随着混合动力汽车的快速发展，混合动力系统的效率得到主机厂及零部件商的愈加关注，如何准确高效的测量混合动力系统的效率成为行业面临的共同问题，现阶段行业对混合动力系统只是对单独的发动机和单独的驱动电机系统进行了效率测试，没有从整个系统层面形成确定的试验方法，本项目旨在提出明确的混合动力系统效率测试方法，梳理影响混合动力系统效率测试因素，明确混合动力系统效率的测试工况以及对应的控制策略，确定混合动力系统台架测试的具体要求和评价指标。</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1.完成研究报告，报告至少包含以下内容：</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（1）数量影响混合动力系统效率测试的主要因素；</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（2）研究混合动力系统效率测试工况以及对应的控制策略。</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2.在《中国汽车》期刊上发表1篇论文。</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3" w:type="pct"/>
            <w:shd w:val="clear" w:color="auto" w:fill="auto"/>
            <w:tcMar>
              <w:left w:w="28" w:type="dxa"/>
              <w:right w:w="28" w:type="dxa"/>
            </w:tcMar>
            <w:vAlign w:val="center"/>
          </w:tcPr>
          <w:p>
            <w:pPr>
              <w:pStyle w:val="14"/>
              <w:keepNext w:val="0"/>
              <w:keepLines w:val="0"/>
              <w:pageBreakBefore w:val="0"/>
              <w:widowControl w:val="0"/>
              <w:numPr>
                <w:ilvl w:val="0"/>
                <w:numId w:val="1"/>
              </w:numPr>
              <w:kinsoku/>
              <w:wordWrap/>
              <w:overflowPunct/>
              <w:topLinePunct w:val="0"/>
              <w:autoSpaceDE/>
              <w:autoSpaceDN/>
              <w:bidi w:val="0"/>
              <w:adjustRightInd w:val="0"/>
              <w:snapToGrid w:val="0"/>
              <w:spacing w:before="79" w:beforeLines="25" w:after="79" w:afterLines="25"/>
              <w:ind w:left="0" w:leftChars="0" w:firstLine="0" w:firstLineChars="0"/>
              <w:jc w:val="center"/>
              <w:textAlignment w:val="auto"/>
              <w:rPr>
                <w:rFonts w:ascii="Times New Roman" w:hAnsi="Times New Roman" w:eastAsia="宋体" w:cs="Times New Roman"/>
                <w:sz w:val="21"/>
                <w:szCs w:val="21"/>
              </w:rPr>
            </w:pPr>
          </w:p>
        </w:tc>
        <w:tc>
          <w:tcPr>
            <w:tcW w:w="202" w:type="pct"/>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left"/>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国际化</w:t>
            </w:r>
          </w:p>
        </w:tc>
        <w:tc>
          <w:tcPr>
            <w:tcW w:w="657"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典型区域市场客车法规适用性分析与应对研究</w:t>
            </w:r>
          </w:p>
        </w:tc>
        <w:tc>
          <w:tcPr>
            <w:tcW w:w="2120"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梳理典型区域市场客车相关法规情况，结合我国国标和当地法规进行对比分析，总结法规适用性遇到的典型问题和解决方案，形成客车出口海外市场的指导建议和参考模式，结合电动汽车技术发展和我国标准体系建设经验，提出推动我国标准走出去的工作路径。</w:t>
            </w:r>
          </w:p>
        </w:tc>
        <w:tc>
          <w:tcPr>
            <w:tcW w:w="1614"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both"/>
              <w:textAlignment w:val="top"/>
              <w:rPr>
                <w:rFonts w:hint="eastAsia" w:ascii="Times New Roman" w:hAnsi="Times New Roman" w:eastAsia="宋体" w:cs="宋体"/>
                <w:i w:val="0"/>
                <w:iCs w:val="0"/>
                <w:color w:val="000000"/>
                <w:kern w:val="0"/>
                <w:sz w:val="21"/>
                <w:szCs w:val="21"/>
                <w:u w:val="none"/>
                <w:lang w:val="en-US" w:eastAsia="zh-CN" w:bidi="ar"/>
              </w:rPr>
            </w:pPr>
            <w:r>
              <w:rPr>
                <w:rFonts w:hint="eastAsia" w:ascii="Times New Roman" w:hAnsi="Times New Roman" w:eastAsia="宋体" w:cs="宋体"/>
                <w:i w:val="0"/>
                <w:iCs w:val="0"/>
                <w:color w:val="000000"/>
                <w:kern w:val="0"/>
                <w:sz w:val="21"/>
                <w:szCs w:val="21"/>
                <w:u w:val="none"/>
                <w:lang w:val="en-US" w:eastAsia="zh-CN" w:bidi="ar"/>
              </w:rPr>
              <w:t>1.形成我国客车标准与典型区域市场客车法规的比对分析报告1份；</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2.形成客车出口典型区域市场的问题和解决方案清单，形成我国电动客车标准走出去的指导建议报告；</w:t>
            </w:r>
            <w:r>
              <w:rPr>
                <w:rFonts w:hint="eastAsia" w:ascii="Times New Roman" w:hAnsi="Times New Roman" w:eastAsia="宋体" w:cs="宋体"/>
                <w:i w:val="0"/>
                <w:iCs w:val="0"/>
                <w:color w:val="000000"/>
                <w:kern w:val="0"/>
                <w:sz w:val="21"/>
                <w:szCs w:val="21"/>
                <w:u w:val="none"/>
                <w:lang w:val="en-US" w:eastAsia="zh-CN" w:bidi="ar"/>
              </w:rPr>
              <w:br w:type="textWrapping"/>
            </w:r>
            <w:r>
              <w:rPr>
                <w:rFonts w:hint="eastAsia" w:ascii="Times New Roman" w:hAnsi="Times New Roman" w:eastAsia="宋体" w:cs="宋体"/>
                <w:i w:val="0"/>
                <w:iCs w:val="0"/>
                <w:color w:val="000000"/>
                <w:kern w:val="0"/>
                <w:sz w:val="21"/>
                <w:szCs w:val="21"/>
                <w:u w:val="none"/>
                <w:lang w:val="en-US" w:eastAsia="zh-CN" w:bidi="ar"/>
              </w:rPr>
              <w:t>3.在《中国汽车》期刊上发表1篇论文。</w:t>
            </w:r>
          </w:p>
        </w:tc>
        <w:tc>
          <w:tcPr>
            <w:tcW w:w="271" w:type="pct"/>
            <w:shd w:val="clear" w:color="auto" w:fill="auto"/>
            <w:tcMar>
              <w:left w:w="28" w:type="dxa"/>
              <w:right w:w="28" w:type="dxa"/>
            </w:tcMar>
            <w:vAlign w:val="center"/>
          </w:tcPr>
          <w:p>
            <w:pPr>
              <w:keepNext w:val="0"/>
              <w:keepLines w:val="0"/>
              <w:pageBreakBefore w:val="0"/>
              <w:widowControl/>
              <w:suppressLineNumbers w:val="0"/>
              <w:kinsoku/>
              <w:wordWrap/>
              <w:overflowPunct/>
              <w:topLinePunct w:val="0"/>
              <w:autoSpaceDE/>
              <w:autoSpaceDN/>
              <w:bidi w:val="0"/>
              <w:snapToGrid w:val="0"/>
              <w:spacing w:before="79" w:beforeLines="25" w:after="79" w:afterLines="25"/>
              <w:jc w:val="center"/>
              <w:textAlignment w:val="top"/>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r>
    </w:tbl>
    <w:p>
      <w:pPr>
        <w:jc w:val="left"/>
        <w:rPr>
          <w:rFonts w:ascii="Times New Roman" w:hAnsi="Times New Roman" w:eastAsia="宋体" w:cs="Times New Roman"/>
          <w:sz w:val="24"/>
          <w:szCs w:val="24"/>
        </w:rPr>
      </w:pPr>
    </w:p>
    <w:sectPr>
      <w:footerReference r:id="rId3" w:type="default"/>
      <w:pgSz w:w="16838" w:h="11906" w:orient="landscape"/>
      <w:pgMar w:top="1304"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jc w:val="center"/>
      <w:textAlignment w:val="auto"/>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FC8908"/>
    <w:multiLevelType w:val="singleLevel"/>
    <w:tmpl w:val="9DFC8908"/>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E70"/>
    <w:rsid w:val="00006497"/>
    <w:rsid w:val="000069BB"/>
    <w:rsid w:val="00010917"/>
    <w:rsid w:val="00014284"/>
    <w:rsid w:val="00014AA4"/>
    <w:rsid w:val="000269DA"/>
    <w:rsid w:val="000432D4"/>
    <w:rsid w:val="00045883"/>
    <w:rsid w:val="000562EA"/>
    <w:rsid w:val="00070937"/>
    <w:rsid w:val="00091AA4"/>
    <w:rsid w:val="000953AB"/>
    <w:rsid w:val="000A2CEE"/>
    <w:rsid w:val="000D45CF"/>
    <w:rsid w:val="000E1C05"/>
    <w:rsid w:val="000E6FE4"/>
    <w:rsid w:val="000E79B2"/>
    <w:rsid w:val="000F4BEB"/>
    <w:rsid w:val="001216EB"/>
    <w:rsid w:val="00125182"/>
    <w:rsid w:val="00126950"/>
    <w:rsid w:val="001346D1"/>
    <w:rsid w:val="001409E2"/>
    <w:rsid w:val="00140C26"/>
    <w:rsid w:val="00175E95"/>
    <w:rsid w:val="001951C2"/>
    <w:rsid w:val="001A48B5"/>
    <w:rsid w:val="001C4A12"/>
    <w:rsid w:val="001F309D"/>
    <w:rsid w:val="001F696B"/>
    <w:rsid w:val="00205248"/>
    <w:rsid w:val="00225840"/>
    <w:rsid w:val="00235068"/>
    <w:rsid w:val="00242CEE"/>
    <w:rsid w:val="00245BEB"/>
    <w:rsid w:val="002633CE"/>
    <w:rsid w:val="00280825"/>
    <w:rsid w:val="00283CD6"/>
    <w:rsid w:val="002845FD"/>
    <w:rsid w:val="00290CAF"/>
    <w:rsid w:val="00292D97"/>
    <w:rsid w:val="002A1B1A"/>
    <w:rsid w:val="002A5AA5"/>
    <w:rsid w:val="002B095B"/>
    <w:rsid w:val="002B6CEE"/>
    <w:rsid w:val="002C79C1"/>
    <w:rsid w:val="002E4034"/>
    <w:rsid w:val="00316E38"/>
    <w:rsid w:val="00325648"/>
    <w:rsid w:val="0033392E"/>
    <w:rsid w:val="00337057"/>
    <w:rsid w:val="0034203B"/>
    <w:rsid w:val="0035797B"/>
    <w:rsid w:val="00363D08"/>
    <w:rsid w:val="00370EA6"/>
    <w:rsid w:val="0037269E"/>
    <w:rsid w:val="003753A6"/>
    <w:rsid w:val="00396189"/>
    <w:rsid w:val="003A1BEB"/>
    <w:rsid w:val="003A4295"/>
    <w:rsid w:val="003A50F9"/>
    <w:rsid w:val="003A6B4E"/>
    <w:rsid w:val="003A76ED"/>
    <w:rsid w:val="003B0813"/>
    <w:rsid w:val="003C1420"/>
    <w:rsid w:val="003D0B12"/>
    <w:rsid w:val="003D7C07"/>
    <w:rsid w:val="004151F8"/>
    <w:rsid w:val="004206CE"/>
    <w:rsid w:val="0042113D"/>
    <w:rsid w:val="00422269"/>
    <w:rsid w:val="00430F6E"/>
    <w:rsid w:val="00445228"/>
    <w:rsid w:val="0045795B"/>
    <w:rsid w:val="004612C0"/>
    <w:rsid w:val="00487949"/>
    <w:rsid w:val="00491716"/>
    <w:rsid w:val="00494A77"/>
    <w:rsid w:val="00494FFB"/>
    <w:rsid w:val="004A5183"/>
    <w:rsid w:val="004C34EA"/>
    <w:rsid w:val="004D009C"/>
    <w:rsid w:val="004E6B73"/>
    <w:rsid w:val="004F3DAA"/>
    <w:rsid w:val="004F716B"/>
    <w:rsid w:val="005167AB"/>
    <w:rsid w:val="0052179D"/>
    <w:rsid w:val="00522BCA"/>
    <w:rsid w:val="0052798F"/>
    <w:rsid w:val="005401F5"/>
    <w:rsid w:val="00546C75"/>
    <w:rsid w:val="005473E8"/>
    <w:rsid w:val="00560665"/>
    <w:rsid w:val="0056268E"/>
    <w:rsid w:val="00562A22"/>
    <w:rsid w:val="00565F7C"/>
    <w:rsid w:val="00580E32"/>
    <w:rsid w:val="00581F8E"/>
    <w:rsid w:val="005913AE"/>
    <w:rsid w:val="005A0CD2"/>
    <w:rsid w:val="005B1B18"/>
    <w:rsid w:val="005B7E38"/>
    <w:rsid w:val="005B7F96"/>
    <w:rsid w:val="005C5573"/>
    <w:rsid w:val="005E777E"/>
    <w:rsid w:val="00602B90"/>
    <w:rsid w:val="00613F3F"/>
    <w:rsid w:val="006171D6"/>
    <w:rsid w:val="006207F0"/>
    <w:rsid w:val="00642108"/>
    <w:rsid w:val="006438EA"/>
    <w:rsid w:val="006463CC"/>
    <w:rsid w:val="00656145"/>
    <w:rsid w:val="00666FDC"/>
    <w:rsid w:val="006768EE"/>
    <w:rsid w:val="00683446"/>
    <w:rsid w:val="00684431"/>
    <w:rsid w:val="006919DF"/>
    <w:rsid w:val="00693865"/>
    <w:rsid w:val="006A2869"/>
    <w:rsid w:val="006A669F"/>
    <w:rsid w:val="006A77D2"/>
    <w:rsid w:val="006D2A16"/>
    <w:rsid w:val="00703E6F"/>
    <w:rsid w:val="00711654"/>
    <w:rsid w:val="0071627A"/>
    <w:rsid w:val="0074040A"/>
    <w:rsid w:val="00750AF4"/>
    <w:rsid w:val="00755F8F"/>
    <w:rsid w:val="00762712"/>
    <w:rsid w:val="0077373E"/>
    <w:rsid w:val="00790733"/>
    <w:rsid w:val="007A027D"/>
    <w:rsid w:val="007B22D4"/>
    <w:rsid w:val="007C1F7B"/>
    <w:rsid w:val="007C4ED5"/>
    <w:rsid w:val="007D45ED"/>
    <w:rsid w:val="007D4D7D"/>
    <w:rsid w:val="007D58BE"/>
    <w:rsid w:val="007D5A92"/>
    <w:rsid w:val="007D7AD3"/>
    <w:rsid w:val="007E49C2"/>
    <w:rsid w:val="007E65C8"/>
    <w:rsid w:val="007E739F"/>
    <w:rsid w:val="007F0CBF"/>
    <w:rsid w:val="007F4232"/>
    <w:rsid w:val="007F6242"/>
    <w:rsid w:val="00802857"/>
    <w:rsid w:val="00817C7C"/>
    <w:rsid w:val="00821740"/>
    <w:rsid w:val="00834576"/>
    <w:rsid w:val="00835E85"/>
    <w:rsid w:val="00841E19"/>
    <w:rsid w:val="008427E6"/>
    <w:rsid w:val="0085298A"/>
    <w:rsid w:val="0085799E"/>
    <w:rsid w:val="00873BFC"/>
    <w:rsid w:val="00873C6F"/>
    <w:rsid w:val="0087476C"/>
    <w:rsid w:val="00885B6F"/>
    <w:rsid w:val="008927AF"/>
    <w:rsid w:val="00895C8D"/>
    <w:rsid w:val="008A11AF"/>
    <w:rsid w:val="008A1B79"/>
    <w:rsid w:val="008A46D8"/>
    <w:rsid w:val="008B225D"/>
    <w:rsid w:val="008C1D38"/>
    <w:rsid w:val="008C2B2A"/>
    <w:rsid w:val="008D6089"/>
    <w:rsid w:val="008D62AD"/>
    <w:rsid w:val="008D7EB0"/>
    <w:rsid w:val="008F4B2A"/>
    <w:rsid w:val="00906789"/>
    <w:rsid w:val="00911374"/>
    <w:rsid w:val="00926FC0"/>
    <w:rsid w:val="0092798B"/>
    <w:rsid w:val="00931499"/>
    <w:rsid w:val="00935A39"/>
    <w:rsid w:val="00935FA2"/>
    <w:rsid w:val="009462CD"/>
    <w:rsid w:val="0096410E"/>
    <w:rsid w:val="00991929"/>
    <w:rsid w:val="009A41D4"/>
    <w:rsid w:val="009B3DAF"/>
    <w:rsid w:val="009B4BF2"/>
    <w:rsid w:val="009D618B"/>
    <w:rsid w:val="009D7024"/>
    <w:rsid w:val="009E6B63"/>
    <w:rsid w:val="009F48C5"/>
    <w:rsid w:val="009F50EC"/>
    <w:rsid w:val="00A022F1"/>
    <w:rsid w:val="00A03CA6"/>
    <w:rsid w:val="00A069AB"/>
    <w:rsid w:val="00A11020"/>
    <w:rsid w:val="00A134E0"/>
    <w:rsid w:val="00A22976"/>
    <w:rsid w:val="00A26DF5"/>
    <w:rsid w:val="00A26E5F"/>
    <w:rsid w:val="00A32482"/>
    <w:rsid w:val="00A402B4"/>
    <w:rsid w:val="00A67136"/>
    <w:rsid w:val="00A719AB"/>
    <w:rsid w:val="00A82607"/>
    <w:rsid w:val="00A85C40"/>
    <w:rsid w:val="00A9105B"/>
    <w:rsid w:val="00A9726F"/>
    <w:rsid w:val="00AA644F"/>
    <w:rsid w:val="00AA7501"/>
    <w:rsid w:val="00AB221F"/>
    <w:rsid w:val="00AB28FF"/>
    <w:rsid w:val="00AB5728"/>
    <w:rsid w:val="00AD09AA"/>
    <w:rsid w:val="00AD55F8"/>
    <w:rsid w:val="00B04E64"/>
    <w:rsid w:val="00B149A3"/>
    <w:rsid w:val="00B177D3"/>
    <w:rsid w:val="00B20D31"/>
    <w:rsid w:val="00B27075"/>
    <w:rsid w:val="00B32B2C"/>
    <w:rsid w:val="00B70AB7"/>
    <w:rsid w:val="00B74690"/>
    <w:rsid w:val="00B81A04"/>
    <w:rsid w:val="00B85606"/>
    <w:rsid w:val="00B87850"/>
    <w:rsid w:val="00B9099A"/>
    <w:rsid w:val="00B96698"/>
    <w:rsid w:val="00BA25C5"/>
    <w:rsid w:val="00BA5738"/>
    <w:rsid w:val="00BA6DD4"/>
    <w:rsid w:val="00BD4AA8"/>
    <w:rsid w:val="00BD5201"/>
    <w:rsid w:val="00BF4DA5"/>
    <w:rsid w:val="00BF6286"/>
    <w:rsid w:val="00C0285F"/>
    <w:rsid w:val="00C05049"/>
    <w:rsid w:val="00C14E89"/>
    <w:rsid w:val="00C16E69"/>
    <w:rsid w:val="00C34650"/>
    <w:rsid w:val="00C37056"/>
    <w:rsid w:val="00C4395B"/>
    <w:rsid w:val="00C44A78"/>
    <w:rsid w:val="00C45138"/>
    <w:rsid w:val="00C63757"/>
    <w:rsid w:val="00C639E3"/>
    <w:rsid w:val="00C66141"/>
    <w:rsid w:val="00C6774A"/>
    <w:rsid w:val="00C76A9A"/>
    <w:rsid w:val="00C90EF4"/>
    <w:rsid w:val="00CA0F1A"/>
    <w:rsid w:val="00CA7304"/>
    <w:rsid w:val="00CB42DE"/>
    <w:rsid w:val="00CB484A"/>
    <w:rsid w:val="00CC29D2"/>
    <w:rsid w:val="00CC3D6B"/>
    <w:rsid w:val="00CD7FD2"/>
    <w:rsid w:val="00CE316F"/>
    <w:rsid w:val="00CE47B8"/>
    <w:rsid w:val="00CE59CF"/>
    <w:rsid w:val="00CF1CD3"/>
    <w:rsid w:val="00CF33B7"/>
    <w:rsid w:val="00CF3CC7"/>
    <w:rsid w:val="00CF5B39"/>
    <w:rsid w:val="00CF7B1B"/>
    <w:rsid w:val="00D00FA5"/>
    <w:rsid w:val="00D0389D"/>
    <w:rsid w:val="00D03B8D"/>
    <w:rsid w:val="00D1563E"/>
    <w:rsid w:val="00D15A8B"/>
    <w:rsid w:val="00D23CFB"/>
    <w:rsid w:val="00D24A59"/>
    <w:rsid w:val="00D27386"/>
    <w:rsid w:val="00D41A19"/>
    <w:rsid w:val="00D53334"/>
    <w:rsid w:val="00D61E03"/>
    <w:rsid w:val="00D66E5F"/>
    <w:rsid w:val="00D756A1"/>
    <w:rsid w:val="00D866B9"/>
    <w:rsid w:val="00DC1813"/>
    <w:rsid w:val="00DC3750"/>
    <w:rsid w:val="00DF264A"/>
    <w:rsid w:val="00E01A0A"/>
    <w:rsid w:val="00E405E8"/>
    <w:rsid w:val="00E42A23"/>
    <w:rsid w:val="00E430F1"/>
    <w:rsid w:val="00E452A5"/>
    <w:rsid w:val="00E46B1E"/>
    <w:rsid w:val="00E46EA7"/>
    <w:rsid w:val="00E539E8"/>
    <w:rsid w:val="00E56E6C"/>
    <w:rsid w:val="00E63E0D"/>
    <w:rsid w:val="00E73BB7"/>
    <w:rsid w:val="00E80A3D"/>
    <w:rsid w:val="00E8614F"/>
    <w:rsid w:val="00E91BE5"/>
    <w:rsid w:val="00E9332C"/>
    <w:rsid w:val="00EA3531"/>
    <w:rsid w:val="00EB76EF"/>
    <w:rsid w:val="00ED14E3"/>
    <w:rsid w:val="00ED3173"/>
    <w:rsid w:val="00EE7C3E"/>
    <w:rsid w:val="00F03196"/>
    <w:rsid w:val="00F14E07"/>
    <w:rsid w:val="00F53B80"/>
    <w:rsid w:val="00F541DC"/>
    <w:rsid w:val="00F63D4F"/>
    <w:rsid w:val="00F750D4"/>
    <w:rsid w:val="00F82DE9"/>
    <w:rsid w:val="00F86DFC"/>
    <w:rsid w:val="00F87EB3"/>
    <w:rsid w:val="00F949BA"/>
    <w:rsid w:val="00F95C74"/>
    <w:rsid w:val="00FA1D07"/>
    <w:rsid w:val="00FA51A6"/>
    <w:rsid w:val="00FB448F"/>
    <w:rsid w:val="00FB5465"/>
    <w:rsid w:val="00FC6BCB"/>
    <w:rsid w:val="00FC79CB"/>
    <w:rsid w:val="00FC7DBB"/>
    <w:rsid w:val="00FE60E5"/>
    <w:rsid w:val="082810DB"/>
    <w:rsid w:val="0C8C212E"/>
    <w:rsid w:val="0FBD222C"/>
    <w:rsid w:val="1C8726B7"/>
    <w:rsid w:val="201E6C45"/>
    <w:rsid w:val="216D49AA"/>
    <w:rsid w:val="24DB0068"/>
    <w:rsid w:val="32E25230"/>
    <w:rsid w:val="367639AC"/>
    <w:rsid w:val="3B1814A5"/>
    <w:rsid w:val="3DF257B2"/>
    <w:rsid w:val="493214E4"/>
    <w:rsid w:val="4C123874"/>
    <w:rsid w:val="59AF03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page number"/>
    <w:basedOn w:val="9"/>
    <w:qFormat/>
    <w:uiPriority w:val="0"/>
  </w:style>
  <w:style w:type="character" w:customStyle="1" w:styleId="12">
    <w:name w:val="页眉 字符"/>
    <w:basedOn w:val="9"/>
    <w:link w:val="5"/>
    <w:qFormat/>
    <w:uiPriority w:val="0"/>
    <w:rPr>
      <w:sz w:val="18"/>
      <w:szCs w:val="18"/>
    </w:rPr>
  </w:style>
  <w:style w:type="character" w:customStyle="1" w:styleId="13">
    <w:name w:val="页脚 字符"/>
    <w:basedOn w:val="9"/>
    <w:link w:val="4"/>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fontstyle01"/>
    <w:basedOn w:val="9"/>
    <w:qFormat/>
    <w:uiPriority w:val="0"/>
    <w:rPr>
      <w:rFonts w:hint="eastAsia" w:ascii="黑体" w:hAnsi="黑体" w:eastAsia="黑体"/>
      <w:color w:val="000000"/>
      <w:sz w:val="32"/>
      <w:szCs w:val="32"/>
    </w:rPr>
  </w:style>
  <w:style w:type="character" w:customStyle="1" w:styleId="16">
    <w:name w:val="apple-converted-space"/>
    <w:basedOn w:val="9"/>
    <w:qFormat/>
    <w:uiPriority w:val="0"/>
  </w:style>
  <w:style w:type="character" w:customStyle="1" w:styleId="17">
    <w:name w:val="批注框文本 字符"/>
    <w:basedOn w:val="9"/>
    <w:link w:val="3"/>
    <w:semiHidden/>
    <w:qFormat/>
    <w:uiPriority w:val="99"/>
    <w:rPr>
      <w:sz w:val="18"/>
      <w:szCs w:val="18"/>
    </w:rPr>
  </w:style>
  <w:style w:type="character" w:customStyle="1" w:styleId="18">
    <w:name w:val="font31"/>
    <w:basedOn w:val="9"/>
    <w:qFormat/>
    <w:uiPriority w:val="0"/>
    <w:rPr>
      <w:rFonts w:hint="eastAsia" w:ascii="宋体" w:hAnsi="宋体" w:eastAsia="宋体" w:cs="宋体"/>
      <w:color w:val="000000"/>
      <w:sz w:val="24"/>
      <w:szCs w:val="24"/>
      <w:u w:val="none"/>
    </w:rPr>
  </w:style>
  <w:style w:type="character" w:customStyle="1" w:styleId="19">
    <w:name w:val="font61"/>
    <w:basedOn w:val="9"/>
    <w:qFormat/>
    <w:uiPriority w:val="0"/>
    <w:rPr>
      <w:rFonts w:hint="default" w:ascii="Times New Roman" w:hAnsi="Times New Roman" w:cs="Times New Roman"/>
      <w:color w:val="000000"/>
      <w:sz w:val="24"/>
      <w:szCs w:val="24"/>
      <w:u w:val="none"/>
    </w:rPr>
  </w:style>
  <w:style w:type="character" w:customStyle="1" w:styleId="20">
    <w:name w:val="font11"/>
    <w:basedOn w:val="9"/>
    <w:qFormat/>
    <w:uiPriority w:val="0"/>
    <w:rPr>
      <w:rFonts w:hint="eastAsia" w:ascii="宋体" w:hAnsi="宋体" w:eastAsia="宋体" w:cs="宋体"/>
      <w:color w:val="000000"/>
      <w:sz w:val="24"/>
      <w:szCs w:val="24"/>
      <w:u w:val="none"/>
    </w:rPr>
  </w:style>
  <w:style w:type="character" w:customStyle="1" w:styleId="21">
    <w:name w:val="font51"/>
    <w:basedOn w:val="9"/>
    <w:qFormat/>
    <w:uiPriority w:val="0"/>
    <w:rPr>
      <w:rFonts w:ascii="Arial" w:hAnsi="Arial" w:cs="Arial"/>
      <w:color w:val="000000"/>
      <w:sz w:val="24"/>
      <w:szCs w:val="24"/>
      <w:u w:val="none"/>
    </w:rPr>
  </w:style>
  <w:style w:type="character" w:customStyle="1" w:styleId="22">
    <w:name w:val="font81"/>
    <w:basedOn w:val="9"/>
    <w:qFormat/>
    <w:uiPriority w:val="0"/>
    <w:rPr>
      <w:rFonts w:hint="default" w:ascii="Times New Roman" w:hAnsi="Times New Roman" w:cs="Times New Roman"/>
      <w:color w:val="000000"/>
      <w:sz w:val="24"/>
      <w:szCs w:val="24"/>
      <w:u w:val="none"/>
    </w:rPr>
  </w:style>
  <w:style w:type="character" w:customStyle="1" w:styleId="23">
    <w:name w:val="font71"/>
    <w:basedOn w:val="9"/>
    <w:qFormat/>
    <w:uiPriority w:val="0"/>
    <w:rPr>
      <w:rFonts w:hint="eastAsia" w:ascii="宋体" w:hAnsi="宋体" w:eastAsia="宋体" w:cs="宋体"/>
      <w:color w:val="000000"/>
      <w:sz w:val="24"/>
      <w:szCs w:val="24"/>
      <w:u w:val="none"/>
    </w:rPr>
  </w:style>
  <w:style w:type="character" w:customStyle="1" w:styleId="24">
    <w:name w:val="font21"/>
    <w:basedOn w:val="9"/>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403</Words>
  <Characters>2299</Characters>
  <Lines>19</Lines>
  <Paragraphs>5</Paragraphs>
  <TotalTime>15</TotalTime>
  <ScaleCrop>false</ScaleCrop>
  <LinksUpToDate>false</LinksUpToDate>
  <CharactersWithSpaces>2697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2018-03-12T05:51:00Z</dcterms:created>
  <dc:creator>PPPPP</dc:creator>
  <cp:lastModifiedBy>李维菁</cp:lastModifiedBy>
  <cp:lastPrinted>2020-05-18T09:29:00Z</cp:lastPrinted>
  <dcterms:modified xsi:type="dcterms:W3CDTF">2024-08-12T05:52:11Z</dcterms:modified>
  <cp:revision>255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B627C25EC92A48859DD4F84552588F39</vt:lpwstr>
  </property>
</Properties>
</file>